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E6" w:rsidRPr="00D93023" w:rsidRDefault="00E104E6" w:rsidP="00E104E6">
      <w:pPr>
        <w:jc w:val="center"/>
      </w:pPr>
      <w:bookmarkStart w:id="0" w:name="_GoBack"/>
      <w:bookmarkEnd w:id="0"/>
      <w:r w:rsidRPr="00D93023">
        <w:rPr>
          <w:noProof/>
          <w:lang w:eastAsia="fr-FR"/>
        </w:rPr>
        <w:drawing>
          <wp:inline distT="0" distB="0" distL="0" distR="0" wp14:anchorId="402DB20B" wp14:editId="34141EAC">
            <wp:extent cx="1725315" cy="10509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65" cy="10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4E6" w:rsidRPr="00D93023" w:rsidRDefault="00E104E6" w:rsidP="00E104E6"/>
    <w:p w:rsidR="00E104E6" w:rsidRPr="00E104E6" w:rsidRDefault="00E104E6" w:rsidP="007A43FC">
      <w:pPr>
        <w:pStyle w:val="Titre"/>
        <w:jc w:val="center"/>
        <w:rPr>
          <w:sz w:val="40"/>
        </w:rPr>
      </w:pPr>
      <w:r w:rsidRPr="00D93023">
        <w:rPr>
          <w:sz w:val="40"/>
        </w:rPr>
        <w:t xml:space="preserve">Retranscription de la vidéo </w:t>
      </w:r>
      <w:r>
        <w:rPr>
          <w:sz w:val="40"/>
        </w:rPr>
        <w:t>sur l’avis sur les inégalités sociales de santé</w:t>
      </w:r>
      <w:r w:rsidR="007A43FC">
        <w:rPr>
          <w:sz w:val="40"/>
        </w:rPr>
        <w:t>.</w:t>
      </w:r>
    </w:p>
    <w:p w:rsidR="00E104E6" w:rsidRPr="00D93023" w:rsidRDefault="00E104E6" w:rsidP="00E104E6"/>
    <w:p w:rsidR="00E104E6" w:rsidRPr="00D93023" w:rsidRDefault="00E104E6" w:rsidP="00E104E6"/>
    <w:p w:rsidR="00E104E6" w:rsidRPr="00D93023" w:rsidRDefault="00E104E6" w:rsidP="00E104E6">
      <w:pPr>
        <w:rPr>
          <w:i/>
        </w:rPr>
      </w:pPr>
      <w:r w:rsidRPr="00D93023">
        <w:rPr>
          <w:i/>
        </w:rPr>
        <w:t xml:space="preserve">[La vidéo a été mise en ligne en </w:t>
      </w:r>
      <w:r>
        <w:rPr>
          <w:i/>
        </w:rPr>
        <w:t>mai 2021</w:t>
      </w:r>
      <w:r w:rsidRPr="00D93023">
        <w:rPr>
          <w:i/>
        </w:rPr>
        <w:t xml:space="preserve">. </w:t>
      </w:r>
      <w:r>
        <w:rPr>
          <w:i/>
        </w:rPr>
        <w:t xml:space="preserve">Deux personnes parlent, Laurène </w:t>
      </w:r>
      <w:proofErr w:type="spellStart"/>
      <w:r>
        <w:rPr>
          <w:i/>
        </w:rPr>
        <w:t>Chesnel</w:t>
      </w:r>
      <w:proofErr w:type="spellEnd"/>
      <w:r>
        <w:rPr>
          <w:i/>
        </w:rPr>
        <w:t xml:space="preserve"> et Hugues de </w:t>
      </w:r>
      <w:proofErr w:type="spellStart"/>
      <w:r>
        <w:rPr>
          <w:i/>
        </w:rPr>
        <w:t>Courtiveron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</w:t>
      </w:r>
      <w:proofErr w:type="spellEnd"/>
      <w:r>
        <w:rPr>
          <w:i/>
        </w:rPr>
        <w:t>-rapporteurs de l’avis.]</w:t>
      </w:r>
      <w:r w:rsidRPr="00D93023">
        <w:rPr>
          <w:i/>
        </w:rPr>
        <w:t xml:space="preserve"> </w:t>
      </w:r>
    </w:p>
    <w:p w:rsidR="00E104E6" w:rsidRPr="00E104E6" w:rsidRDefault="00E104E6" w:rsidP="00E104E6">
      <w:r w:rsidRPr="00D93023">
        <w:rPr>
          <w:i/>
        </w:rPr>
        <w:t xml:space="preserve">La vidéo est accessible avec le lien suivant : </w:t>
      </w:r>
      <w:hyperlink r:id="rId6" w:history="1">
        <w:r w:rsidRPr="003A3338">
          <w:rPr>
            <w:rStyle w:val="Lienhypertexte"/>
          </w:rPr>
          <w:t>https://www.youtube.com/watch?v=JFxcQgulDw0&amp;t=2s</w:t>
        </w:r>
      </w:hyperlink>
      <w:r w:rsidRPr="00D93023">
        <w:rPr>
          <w:i/>
        </w:rPr>
        <w:t>.]</w:t>
      </w:r>
    </w:p>
    <w:p w:rsidR="00E104E6" w:rsidRDefault="00E104E6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04E6" w:rsidRDefault="00E104E6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2DCC" w:rsidRPr="003D3A30" w:rsidRDefault="000B2DCC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A30">
        <w:rPr>
          <w:rFonts w:asciiTheme="minorHAnsi" w:hAnsiTheme="minorHAnsi" w:cstheme="minorHAnsi"/>
          <w:b/>
          <w:sz w:val="22"/>
          <w:szCs w:val="22"/>
        </w:rPr>
        <w:t>Premier panneau sur lequel est écrit : « Comment mieux réduire les inégalités sociales de santé en France ? ».</w:t>
      </w:r>
    </w:p>
    <w:p w:rsidR="000B2DCC" w:rsidRPr="000B2DCC" w:rsidRDefault="000B2DCC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La CNCDH vient d'adopter un avis sur l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es inégalités sociales de santé. </w:t>
      </w:r>
      <w:r w:rsidRPr="000B2DCC">
        <w:rPr>
          <w:rFonts w:asciiTheme="minorHAnsi" w:hAnsiTheme="minorHAnsi" w:cstheme="minorHAnsi"/>
          <w:sz w:val="22"/>
          <w:szCs w:val="22"/>
        </w:rPr>
        <w:t>Pourquoi ? Parce qu'aujourd'hui en France, c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es inégalités restent massives. On entend encore trop souvent </w:t>
      </w:r>
      <w:r w:rsidRPr="000B2DCC">
        <w:rPr>
          <w:rFonts w:asciiTheme="minorHAnsi" w:hAnsiTheme="minorHAnsi" w:cstheme="minorHAnsi"/>
          <w:sz w:val="22"/>
          <w:szCs w:val="22"/>
        </w:rPr>
        <w:t>que les personnes sont responsables de leur mauvais état de santé.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Pourtant c'est faux.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La santé ne dépe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nd pas tant de l'accès aux soins </w:t>
      </w:r>
      <w:r w:rsidRPr="000B2DCC">
        <w:rPr>
          <w:rFonts w:asciiTheme="minorHAnsi" w:hAnsiTheme="minorHAnsi" w:cstheme="minorHAnsi"/>
          <w:sz w:val="22"/>
          <w:szCs w:val="22"/>
        </w:rPr>
        <w:t>que d'un ensemble de conditions de vie :</w:t>
      </w:r>
      <w:r w:rsidR="00E104E6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 xml:space="preserve">les risques liés au 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mal-logement, à l'alimentation, </w:t>
      </w:r>
      <w:r w:rsidRPr="000B2DCC">
        <w:rPr>
          <w:rFonts w:asciiTheme="minorHAnsi" w:hAnsiTheme="minorHAnsi" w:cstheme="minorHAnsi"/>
          <w:sz w:val="22"/>
          <w:szCs w:val="22"/>
        </w:rPr>
        <w:t>au non-accès aux droits, au manque de ressources,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parfois à la profession ou aux conditions de vie dans l'enfance.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En 2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018, l'écart d'espérance de vie </w:t>
      </w:r>
      <w:r w:rsidRPr="000B2DCC">
        <w:rPr>
          <w:rFonts w:asciiTheme="minorHAnsi" w:hAnsiTheme="minorHAnsi" w:cstheme="minorHAnsi"/>
          <w:sz w:val="22"/>
          <w:szCs w:val="22"/>
        </w:rPr>
        <w:t xml:space="preserve">entre les 5% les plus riches et les 5% 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les plus pauvres chez les hommes </w:t>
      </w:r>
      <w:r w:rsidRPr="000B2DCC">
        <w:rPr>
          <w:rFonts w:asciiTheme="minorHAnsi" w:hAnsiTheme="minorHAnsi" w:cstheme="minorHAnsi"/>
          <w:sz w:val="22"/>
          <w:szCs w:val="22"/>
        </w:rPr>
        <w:t xml:space="preserve">était de presque 13 ans. 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2DCC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 xml:space="preserve">De même la crise liée au </w:t>
      </w:r>
      <w:proofErr w:type="spellStart"/>
      <w:r w:rsidRPr="000B2DCC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a montré la surmortalité de certaines catégories sociales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par exemple les personnes nées à l'étranger ou celles exerçant les métiers les plus exposés.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2DCC" w:rsidRPr="000B2DCC" w:rsidRDefault="000B2DCC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2DCC" w:rsidRPr="003D3A30" w:rsidRDefault="000B2DCC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A30">
        <w:rPr>
          <w:rFonts w:asciiTheme="minorHAnsi" w:hAnsiTheme="minorHAnsi" w:cstheme="minorHAnsi"/>
          <w:b/>
          <w:sz w:val="22"/>
          <w:szCs w:val="22"/>
        </w:rPr>
        <w:t>Deuxième panneau sur lequel est écrit : « Quels dispositifs existent en France pour lutter contre ces inégalités ? ».</w:t>
      </w:r>
    </w:p>
    <w:p w:rsidR="000B2DCC" w:rsidRPr="000B2DCC" w:rsidRDefault="000B2DCC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2DCC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Pourtant il n'y a pas véritablement de politique publique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p</w:t>
      </w:r>
      <w:r w:rsidRPr="000B2DCC">
        <w:rPr>
          <w:rFonts w:asciiTheme="minorHAnsi" w:hAnsiTheme="minorHAnsi" w:cstheme="minorHAnsi"/>
          <w:sz w:val="22"/>
          <w:szCs w:val="22"/>
        </w:rPr>
        <w:t>our lutter contre ces inégalités sociales de santé.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Car la santé est aujourd'hui une catégorie à part,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séparée d'autres domaines qui pourtant la concernent,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par exemple le logement, le travail ou encore l'environnement.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Et on peut regretter une séparation trop importante entre le sanitaire et le social.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Ces constats s'appliquent tant au niveau national qu'au niveau local.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Ainsi, le système de santé n'est pas organisé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pour une prise en charge globale des personnes.</w:t>
      </w:r>
    </w:p>
    <w:p w:rsidR="003D3A30" w:rsidRDefault="003D3A30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3A30" w:rsidRPr="003D3A30" w:rsidRDefault="003D3A30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A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Troisième panneau sur lequel est écrit : </w:t>
      </w:r>
      <w:r>
        <w:rPr>
          <w:rFonts w:asciiTheme="minorHAnsi" w:hAnsiTheme="minorHAnsi" w:cstheme="minorHAnsi"/>
          <w:b/>
          <w:sz w:val="22"/>
          <w:szCs w:val="22"/>
        </w:rPr>
        <w:t>« </w:t>
      </w:r>
      <w:r w:rsidRPr="003D3A30">
        <w:rPr>
          <w:rFonts w:asciiTheme="minorHAnsi" w:hAnsiTheme="minorHAnsi" w:cstheme="minorHAnsi"/>
          <w:b/>
          <w:sz w:val="22"/>
          <w:szCs w:val="22"/>
        </w:rPr>
        <w:t>Quelles sont les recommandations de la CNCDH ? ».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Dans son avis, la CNCDH recommande notamment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de renverser la logique descendante des politiques publiques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. </w:t>
      </w:r>
      <w:r w:rsidRPr="000B2DCC">
        <w:rPr>
          <w:rFonts w:asciiTheme="minorHAnsi" w:hAnsiTheme="minorHAnsi" w:cstheme="minorHAnsi"/>
          <w:sz w:val="22"/>
          <w:szCs w:val="22"/>
        </w:rPr>
        <w:t>Il faut partir du besoin des personnes et des expériences de terrain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et développer la démocratie sanitaire en donnant la parole à toutes les personnes concernées.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Elle recommande également de développer des programmes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permettant une prise en charge globale de personnes, dans la durée,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en particulier pour les plus exclus.</w:t>
      </w: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461" w:rsidRPr="000B2DCC" w:rsidRDefault="00C26461" w:rsidP="000B2DCC">
      <w:pPr>
        <w:pStyle w:val="Textebru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DCC">
        <w:rPr>
          <w:rFonts w:asciiTheme="minorHAnsi" w:hAnsiTheme="minorHAnsi" w:cstheme="minorHAnsi"/>
          <w:sz w:val="22"/>
          <w:szCs w:val="22"/>
        </w:rPr>
        <w:t>Et enfin de sortir d'une logique de services organisés en silos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 xml:space="preserve">en mettant en place des </w:t>
      </w:r>
      <w:r w:rsidR="000B2DCC" w:rsidRPr="000B2DCC">
        <w:rPr>
          <w:rFonts w:asciiTheme="minorHAnsi" w:hAnsiTheme="minorHAnsi" w:cstheme="minorHAnsi"/>
          <w:sz w:val="22"/>
          <w:szCs w:val="22"/>
        </w:rPr>
        <w:t>dispositifs</w:t>
      </w:r>
      <w:r w:rsidRPr="000B2DCC">
        <w:rPr>
          <w:rFonts w:asciiTheme="minorHAnsi" w:hAnsiTheme="minorHAnsi" w:cstheme="minorHAnsi"/>
          <w:sz w:val="22"/>
          <w:szCs w:val="22"/>
        </w:rPr>
        <w:t xml:space="preserve"> de gouvernance transversale,</w:t>
      </w:r>
      <w:r w:rsidR="000B2DCC" w:rsidRPr="000B2DCC">
        <w:rPr>
          <w:rFonts w:asciiTheme="minorHAnsi" w:hAnsiTheme="minorHAnsi" w:cstheme="minorHAnsi"/>
          <w:sz w:val="22"/>
          <w:szCs w:val="22"/>
        </w:rPr>
        <w:t xml:space="preserve"> </w:t>
      </w:r>
      <w:r w:rsidRPr="000B2DCC">
        <w:rPr>
          <w:rFonts w:asciiTheme="minorHAnsi" w:hAnsiTheme="minorHAnsi" w:cstheme="minorHAnsi"/>
          <w:sz w:val="22"/>
          <w:szCs w:val="22"/>
        </w:rPr>
        <w:t>à tous les échelons, national, départemental et local.</w:t>
      </w:r>
    </w:p>
    <w:p w:rsidR="00C26461" w:rsidRPr="00C26461" w:rsidRDefault="00C26461" w:rsidP="00C26461">
      <w:pPr>
        <w:pStyle w:val="Textebrut"/>
        <w:rPr>
          <w:rFonts w:ascii="Courier New" w:hAnsi="Courier New" w:cs="Courier New"/>
        </w:rPr>
      </w:pPr>
    </w:p>
    <w:sectPr w:rsidR="00C26461" w:rsidRPr="00C26461" w:rsidSect="00DB5D5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1252"/>
    <w:multiLevelType w:val="hybridMultilevel"/>
    <w:tmpl w:val="0D106E1E"/>
    <w:lvl w:ilvl="0" w:tplc="7E2CDCA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0A498E"/>
    <w:rsid w:val="000B2DCC"/>
    <w:rsid w:val="003723A7"/>
    <w:rsid w:val="003D3A30"/>
    <w:rsid w:val="0066035B"/>
    <w:rsid w:val="007A43FC"/>
    <w:rsid w:val="008F097A"/>
    <w:rsid w:val="00C26461"/>
    <w:rsid w:val="00E104E6"/>
    <w:rsid w:val="00E32BE9"/>
    <w:rsid w:val="00E37DEF"/>
    <w:rsid w:val="00F06CB1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5085-0CAE-4EE3-89AD-9D84805B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660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DB5D5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5D5E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104E6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10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xcQgulDw0&amp;t=2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BERGONZOLI Oceane</cp:lastModifiedBy>
  <cp:revision>2</cp:revision>
  <dcterms:created xsi:type="dcterms:W3CDTF">2022-04-11T12:43:00Z</dcterms:created>
  <dcterms:modified xsi:type="dcterms:W3CDTF">2022-04-11T12:43:00Z</dcterms:modified>
</cp:coreProperties>
</file>